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4481E77" w:rsidR="00421E32" w:rsidRPr="00492684" w:rsidRDefault="00C44890" w:rsidP="004F58CB">
      <w:pPr>
        <w:spacing w:before="1200" w:after="2400"/>
        <w:jc w:val="center"/>
        <w:rPr>
          <w:rFonts w:asciiTheme="minorHAnsi" w:hAnsiTheme="minorHAnsi" w:cstheme="minorHAnsi"/>
          <w:b/>
          <w:sz w:val="36"/>
          <w:szCs w:val="36"/>
          <w:lang w:val="en-GB"/>
        </w:rPr>
      </w:pPr>
      <w:r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r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Pr="00492684">
        <w:rPr>
          <w:rFonts w:asciiTheme="minorHAnsi" w:hAnsiTheme="minorHAnsi" w:cstheme="minorHAnsi"/>
          <w:b/>
          <w:sz w:val="36"/>
          <w:szCs w:val="36"/>
          <w:lang w:val="en-GB"/>
        </w:rPr>
        <w:t>GOODS</w:t>
      </w:r>
    </w:p>
    <w:p w14:paraId="002A6A00" w14:textId="7F072E24" w:rsidR="004E36AD" w:rsidRPr="00492684" w:rsidRDefault="004E36AD" w:rsidP="00800392">
      <w:pPr>
        <w:tabs>
          <w:tab w:val="left" w:pos="2835"/>
        </w:tabs>
        <w:spacing w:before="240" w:after="240"/>
        <w:ind w:left="2835" w:hanging="2835"/>
        <w:jc w:val="center"/>
        <w:rPr>
          <w:lang w:val="en-GB" w:eastAsia="ko-KR"/>
        </w:rPr>
      </w:pPr>
      <w:r w:rsidRPr="00492684">
        <w:rPr>
          <w:b/>
          <w:lang w:val="en-GB"/>
        </w:rPr>
        <w:t>Procurement No:</w:t>
      </w:r>
      <w:r w:rsidRPr="00492684">
        <w:rPr>
          <w:lang w:val="en-GB"/>
        </w:rPr>
        <w:tab/>
      </w:r>
      <w:r w:rsidR="00737364">
        <w:rPr>
          <w:rStyle w:val="Strong"/>
          <w:rFonts w:asciiTheme="minorHAnsi" w:hAnsiTheme="minorHAnsi" w:cstheme="minorHAnsi"/>
          <w:lang w:val="en-GB"/>
        </w:rPr>
        <w:t>22-G007-25</w:t>
      </w: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08AF0BFE" w14:textId="77777777" w:rsidR="00C44890" w:rsidRPr="00492684" w:rsidRDefault="00C44890" w:rsidP="00C44890">
      <w:pPr>
        <w:pStyle w:val="Heading2"/>
      </w:pPr>
      <w:bookmarkStart w:id="0" w:name="_Toc419729571"/>
      <w:bookmarkStart w:id="1" w:name="_Toc11156577"/>
      <w:r w:rsidRPr="00492684">
        <w:lastRenderedPageBreak/>
        <w:t>Specification</w:t>
      </w:r>
      <w:bookmarkEnd w:id="0"/>
    </w:p>
    <w:p w14:paraId="23F1570F" w14:textId="2CD4B5C7" w:rsidR="001219A1" w:rsidRDefault="00C44890" w:rsidP="00737364">
      <w:pPr>
        <w:pStyle w:val="Heading3"/>
        <w:rPr>
          <w:lang w:val="en-GB"/>
        </w:rPr>
      </w:pPr>
      <w:bookmarkStart w:id="2" w:name="_Toc293504682"/>
      <w:bookmarkStart w:id="3" w:name="_Toc419729572"/>
      <w:bookmarkStart w:id="4" w:name="_Toc292659306"/>
      <w:r w:rsidRPr="00492684">
        <w:rPr>
          <w:lang w:val="en-GB"/>
        </w:rPr>
        <w:t>Background</w:t>
      </w:r>
      <w:bookmarkEnd w:id="2"/>
      <w:bookmarkEnd w:id="3"/>
    </w:p>
    <w:p w14:paraId="29E72275" w14:textId="7424038D" w:rsidR="00DE51B5" w:rsidRDefault="00DE6AA8" w:rsidP="00C44890">
      <w:pPr>
        <w:rPr>
          <w:lang w:val="en-GB"/>
        </w:rPr>
      </w:pPr>
      <w:r>
        <w:rPr>
          <w:lang w:val="en-GB"/>
        </w:rPr>
        <w:t>Functional and reliable medical</w:t>
      </w:r>
      <w:r w:rsidR="001219A1">
        <w:rPr>
          <w:lang w:val="en-GB"/>
        </w:rPr>
        <w:t xml:space="preserve"> equipment is essential in hospitals for ensuring delivery of quality healthcare</w:t>
      </w:r>
      <w:r>
        <w:rPr>
          <w:lang w:val="en-GB"/>
        </w:rPr>
        <w:t xml:space="preserve"> services</w:t>
      </w:r>
      <w:r w:rsidR="001219A1">
        <w:rPr>
          <w:lang w:val="en-GB"/>
        </w:rPr>
        <w:t xml:space="preserve"> and clinical services. </w:t>
      </w:r>
      <w:r>
        <w:rPr>
          <w:lang w:val="en-GB"/>
        </w:rPr>
        <w:t>The Ministry of Health &amp; Medical service has 1 referral hospital</w:t>
      </w:r>
      <w:r w:rsidR="00DE51B5">
        <w:rPr>
          <w:lang w:val="en-GB"/>
        </w:rPr>
        <w:t xml:space="preserve"> (Tungaru Central Hospital)</w:t>
      </w:r>
      <w:r>
        <w:rPr>
          <w:lang w:val="en-GB"/>
        </w:rPr>
        <w:t xml:space="preserve"> and 3 district hospitals</w:t>
      </w:r>
      <w:r w:rsidR="00DE51B5">
        <w:rPr>
          <w:lang w:val="en-GB"/>
        </w:rPr>
        <w:t xml:space="preserve"> (Betio Hospital, Southern Kiribati Hospital &amp; Ronton Hospital) that serve the public</w:t>
      </w:r>
      <w:r>
        <w:rPr>
          <w:lang w:val="en-GB"/>
        </w:rPr>
        <w:t xml:space="preserve">. </w:t>
      </w:r>
      <w:r w:rsidR="00DE51B5">
        <w:rPr>
          <w:lang w:val="en-GB"/>
        </w:rPr>
        <w:t xml:space="preserve">In the 4 hospitals, most existing equipment are beyond economical repair and have almost reached their lifespan. The ongoing utilisation of such equipment can compromise the healthcare services, hence, the urgent need to procure replacement units. </w:t>
      </w:r>
    </w:p>
    <w:p w14:paraId="265B1B4E" w14:textId="7459DA60" w:rsidR="00DE51B5" w:rsidRDefault="00DE51B5" w:rsidP="00C44890">
      <w:pPr>
        <w:rPr>
          <w:lang w:val="en-GB"/>
        </w:rPr>
      </w:pPr>
      <w:r>
        <w:rPr>
          <w:lang w:val="en-GB"/>
        </w:rPr>
        <w:t>The procurement of the following listed equipment is based on the needs from different hospitals:</w:t>
      </w:r>
    </w:p>
    <w:p w14:paraId="1EF84E75" w14:textId="3CDEAF12" w:rsidR="00DE51B5" w:rsidRDefault="00DE51B5" w:rsidP="00DE51B5">
      <w:pPr>
        <w:pStyle w:val="ListParagraph"/>
        <w:numPr>
          <w:ilvl w:val="0"/>
          <w:numId w:val="17"/>
        </w:numPr>
        <w:ind w:leftChars="0"/>
        <w:rPr>
          <w:lang w:val="en-GB"/>
        </w:rPr>
      </w:pPr>
      <w:r>
        <w:rPr>
          <w:lang w:val="en-GB"/>
        </w:rPr>
        <w:t>Operation Bed x 4 units – 1 unit for Southern Kiribati Hospital &amp; 3 units for Tungaru Central Hospital.</w:t>
      </w:r>
    </w:p>
    <w:p w14:paraId="126F9E3A" w14:textId="2111F689" w:rsidR="00DE51B5" w:rsidRDefault="00DE51B5" w:rsidP="00DE51B5">
      <w:pPr>
        <w:pStyle w:val="ListParagraph"/>
        <w:numPr>
          <w:ilvl w:val="0"/>
          <w:numId w:val="17"/>
        </w:numPr>
        <w:ind w:leftChars="0"/>
        <w:rPr>
          <w:lang w:val="en-GB"/>
        </w:rPr>
      </w:pPr>
      <w:r>
        <w:rPr>
          <w:lang w:val="en-GB"/>
        </w:rPr>
        <w:t>Suction machines x 20 units – for Tungaru Central Hospital.</w:t>
      </w:r>
    </w:p>
    <w:p w14:paraId="33ED4C52" w14:textId="2BDBAC57" w:rsidR="007E1F1B" w:rsidRPr="00737364" w:rsidRDefault="002A4740" w:rsidP="00737364">
      <w:pPr>
        <w:pStyle w:val="Heading3"/>
        <w:rPr>
          <w:rFonts w:cs="Calibri"/>
          <w:lang w:val="en-GB"/>
        </w:rPr>
      </w:pPr>
      <w:bookmarkStart w:id="5" w:name="_Toc312171709"/>
      <w:r w:rsidRPr="00492684">
        <w:rPr>
          <w:rFonts w:cs="Calibri"/>
          <w:lang w:val="en-GB"/>
        </w:rPr>
        <w:t>Requirements</w:t>
      </w:r>
    </w:p>
    <w:p w14:paraId="7B19B727" w14:textId="1A705D58" w:rsidR="00C44890" w:rsidRDefault="00C44890" w:rsidP="00C44890">
      <w:pPr>
        <w:rPr>
          <w:lang w:val="en-GB"/>
        </w:rPr>
      </w:pPr>
      <w:bookmarkStart w:id="6" w:name="_Toc308102003"/>
      <w:r w:rsidRPr="00492684">
        <w:rPr>
          <w:lang w:val="en-GB"/>
        </w:rPr>
        <w:t>All supporting documentation must be in English.</w:t>
      </w:r>
    </w:p>
    <w:p w14:paraId="3E5B9F16" w14:textId="34EDBC07" w:rsidR="007E1F1B" w:rsidRDefault="007E1F1B" w:rsidP="00C44890">
      <w:pPr>
        <w:rPr>
          <w:lang w:val="en-GB"/>
        </w:rPr>
      </w:pPr>
      <w:r>
        <w:rPr>
          <w:lang w:val="en-GB"/>
        </w:rPr>
        <w:t xml:space="preserve">All quoted equipment including their consumables, accessories and spare parts must be guaranteed to be available in the market in the next 5 years. </w:t>
      </w:r>
    </w:p>
    <w:p w14:paraId="5207DB82" w14:textId="77777777" w:rsidR="007E1F1B" w:rsidRDefault="007E1F1B" w:rsidP="007E1F1B">
      <w:pPr>
        <w:rPr>
          <w:lang w:val="en-GB"/>
        </w:rPr>
      </w:pPr>
      <w:r>
        <w:rPr>
          <w:lang w:val="en-GB"/>
        </w:rPr>
        <w:t>All quoted equipment should comply with AS/NZ 3551 or IEC 601,1 standards.</w:t>
      </w:r>
    </w:p>
    <w:p w14:paraId="56D49EDB" w14:textId="0EC6DE03" w:rsidR="007E1F1B" w:rsidRDefault="007E1F1B" w:rsidP="007E1F1B">
      <w:pPr>
        <w:rPr>
          <w:lang w:val="en-GB"/>
        </w:rPr>
      </w:pPr>
      <w:r>
        <w:rPr>
          <w:lang w:val="en-GB"/>
        </w:rPr>
        <w:t>All quoted equipment should be able to operate with a 240 V, 50 Hz ±15%</w:t>
      </w:r>
    </w:p>
    <w:p w14:paraId="5D79C402" w14:textId="77777777" w:rsidR="007E1F1B" w:rsidRDefault="007E1F1B" w:rsidP="007E1F1B">
      <w:pPr>
        <w:rPr>
          <w:lang w:val="en-GB"/>
        </w:rPr>
      </w:pPr>
      <w:r>
        <w:rPr>
          <w:lang w:val="en-GB"/>
        </w:rPr>
        <w:t xml:space="preserve">Minimum acceptable warranty is 1 year. </w:t>
      </w:r>
    </w:p>
    <w:p w14:paraId="23616D86" w14:textId="1BB9CF4E" w:rsidR="007E1F1B" w:rsidRDefault="007E1F1B" w:rsidP="007E1F1B">
      <w:pPr>
        <w:rPr>
          <w:lang w:val="en-GB"/>
        </w:rPr>
      </w:pPr>
      <w:r>
        <w:rPr>
          <w:lang w:val="en-GB"/>
        </w:rPr>
        <w:t xml:space="preserve">Manuals should be provided: 2 Operator’s manual &amp; 1 Service manual, in hard copy or electronic copy. </w:t>
      </w:r>
    </w:p>
    <w:p w14:paraId="6BB37DA0" w14:textId="77777777" w:rsidR="007E1F1B" w:rsidRDefault="007E1F1B" w:rsidP="007E1F1B">
      <w:pPr>
        <w:rPr>
          <w:lang w:val="en-GB"/>
        </w:rPr>
      </w:pPr>
      <w:r>
        <w:rPr>
          <w:lang w:val="en-GB"/>
        </w:rPr>
        <w:t xml:space="preserve">User’s training to be conducted, either onsite or virtually. </w:t>
      </w:r>
    </w:p>
    <w:p w14:paraId="6257814A" w14:textId="48557B4D" w:rsidR="007E1F1B" w:rsidRPr="00492684" w:rsidRDefault="007E1F1B" w:rsidP="00C44890">
      <w:pPr>
        <w:rPr>
          <w:lang w:val="en-GB"/>
        </w:rPr>
      </w:pPr>
      <w:r>
        <w:rPr>
          <w:lang w:val="en-GB"/>
        </w:rPr>
        <w:t xml:space="preserve">Technical training on operating principles of equipment as well as common maintenance procedures &amp; basic fault-finding to be provided, either onsite or virtually. </w:t>
      </w:r>
    </w:p>
    <w:p w14:paraId="3321152F" w14:textId="1AD174F8" w:rsidR="00C44890" w:rsidRPr="00737364" w:rsidRDefault="00C44890" w:rsidP="00737364">
      <w:pPr>
        <w:pStyle w:val="Heading3"/>
        <w:rPr>
          <w:rFonts w:cs="Calibri"/>
          <w:lang w:val="en-GB"/>
        </w:rPr>
      </w:pPr>
      <w:bookmarkStart w:id="7" w:name="_Toc419729577"/>
      <w:bookmarkEnd w:id="6"/>
      <w:r w:rsidRPr="00492684">
        <w:rPr>
          <w:rFonts w:cs="Calibri"/>
          <w:lang w:val="en-GB"/>
        </w:rPr>
        <w:t>Installation services</w:t>
      </w:r>
      <w:bookmarkEnd w:id="7"/>
    </w:p>
    <w:p w14:paraId="7F691308" w14:textId="77777777" w:rsidR="007E1F1B" w:rsidRDefault="007E1F1B" w:rsidP="007E1F1B">
      <w:pPr>
        <w:rPr>
          <w:lang w:val="en-GB"/>
        </w:rPr>
      </w:pPr>
      <w:r>
        <w:rPr>
          <w:lang w:val="en-GB"/>
        </w:rPr>
        <w:t>To be conducted onsite by supplier’s technician.</w:t>
      </w:r>
    </w:p>
    <w:p w14:paraId="109A02C6" w14:textId="4F32540B" w:rsidR="007E1F1B" w:rsidRPr="00492684" w:rsidRDefault="007E1F1B" w:rsidP="00C44890">
      <w:pPr>
        <w:rPr>
          <w:lang w:val="en-GB"/>
        </w:rPr>
      </w:pPr>
      <w:r>
        <w:rPr>
          <w:lang w:val="en-GB"/>
        </w:rPr>
        <w:t xml:space="preserve">Under special circumstances (for instance, worldwide lockdown), installation can be conducted by Local Biomed technicians while under close remote guidance of supplier’s technicians. </w:t>
      </w:r>
    </w:p>
    <w:p w14:paraId="1FAB4B7A" w14:textId="4299508F" w:rsidR="00C44890" w:rsidRDefault="00C44890" w:rsidP="00737364">
      <w:pPr>
        <w:pStyle w:val="Heading3"/>
        <w:rPr>
          <w:lang w:val="en-GB"/>
        </w:rPr>
      </w:pPr>
      <w:bookmarkStart w:id="8" w:name="_Toc419729578"/>
      <w:r w:rsidRPr="00492684">
        <w:rPr>
          <w:lang w:val="en-GB"/>
        </w:rPr>
        <w:t>Delivery Time</w:t>
      </w:r>
      <w:bookmarkEnd w:id="8"/>
    </w:p>
    <w:p w14:paraId="080D95FD" w14:textId="7026FE28" w:rsidR="007E1F1B" w:rsidRPr="00492684" w:rsidRDefault="007E1F1B" w:rsidP="00C44890">
      <w:pPr>
        <w:rPr>
          <w:lang w:val="en-GB"/>
        </w:rPr>
      </w:pPr>
      <w:r>
        <w:rPr>
          <w:lang w:val="en-GB"/>
        </w:rPr>
        <w:t xml:space="preserve">All items shall be delivered in a month’s time after contract launches. </w:t>
      </w:r>
    </w:p>
    <w:bookmarkEnd w:id="4"/>
    <w:bookmarkEnd w:id="5"/>
    <w:p w14:paraId="625DFCD7" w14:textId="43F96A5E" w:rsidR="00C44890" w:rsidRPr="00492684" w:rsidRDefault="00C44890" w:rsidP="00C44890">
      <w:pPr>
        <w:pStyle w:val="Heading2"/>
      </w:pPr>
      <w:r w:rsidRPr="00492684">
        <w:lastRenderedPageBreak/>
        <w:t>Description of the Goods</w:t>
      </w:r>
      <w:bookmarkEnd w:id="1"/>
    </w:p>
    <w:p w14:paraId="107815C1" w14:textId="77777777" w:rsidR="00C44890" w:rsidRPr="00492684" w:rsidRDefault="00C44890" w:rsidP="00C44890">
      <w:pPr>
        <w:rPr>
          <w:i/>
          <w:iCs/>
          <w:lang w:val="en-GB"/>
        </w:rPr>
      </w:pPr>
      <w:r w:rsidRPr="00492684">
        <w:rPr>
          <w:i/>
          <w:iCs/>
          <w:lang w:val="en-GB"/>
        </w:rPr>
        <w:t>Here, list all items to be Tendered</w:t>
      </w:r>
    </w:p>
    <w:p w14:paraId="69E741C9" w14:textId="77777777" w:rsidR="00C44890" w:rsidRPr="00492684" w:rsidRDefault="00C44890" w:rsidP="00C44890">
      <w:pPr>
        <w:rPr>
          <w:i/>
          <w:iCs/>
          <w:lang w:val="en-GB"/>
        </w:rPr>
      </w:pPr>
      <w:r w:rsidRPr="00492684">
        <w:rPr>
          <w:i/>
          <w:iCs/>
          <w:lang w:val="en-GB"/>
        </w:rPr>
        <w:t>(This part may be replaced by a proprietary Supplier description)</w:t>
      </w:r>
    </w:p>
    <w:p w14:paraId="67D3B075" w14:textId="77777777" w:rsidR="00C44890" w:rsidRPr="00492684" w:rsidRDefault="00C44890" w:rsidP="00C44890">
      <w:pPr>
        <w:rPr>
          <w:lang w:val="en-GB"/>
        </w:rPr>
      </w:pPr>
    </w:p>
    <w:tbl>
      <w:tblPr>
        <w:tblStyle w:val="GridTable1Light"/>
        <w:tblW w:w="0" w:type="auto"/>
        <w:tblLook w:val="04A0" w:firstRow="1" w:lastRow="0" w:firstColumn="1" w:lastColumn="0" w:noHBand="0" w:noVBand="1"/>
      </w:tblPr>
      <w:tblGrid>
        <w:gridCol w:w="636"/>
        <w:gridCol w:w="4678"/>
        <w:gridCol w:w="1134"/>
        <w:gridCol w:w="1559"/>
        <w:gridCol w:w="1417"/>
      </w:tblGrid>
      <w:tr w:rsidR="002A4740" w:rsidRPr="00492684" w14:paraId="7BA20976" w14:textId="59B94A2B" w:rsidTr="002875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3F255CAF" w14:textId="77777777" w:rsidR="002A4740" w:rsidRPr="00492684" w:rsidRDefault="002A4740" w:rsidP="00C44890">
            <w:pPr>
              <w:rPr>
                <w:lang w:val="en-GB"/>
              </w:rPr>
            </w:pPr>
            <w:r w:rsidRPr="00492684">
              <w:rPr>
                <w:lang w:val="en-GB"/>
              </w:rPr>
              <w:t>Pos.</w:t>
            </w:r>
          </w:p>
        </w:tc>
        <w:tc>
          <w:tcPr>
            <w:tcW w:w="4678" w:type="dxa"/>
          </w:tcPr>
          <w:p w14:paraId="176179CC"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Description</w:t>
            </w:r>
          </w:p>
        </w:tc>
        <w:tc>
          <w:tcPr>
            <w:tcW w:w="1134" w:type="dxa"/>
          </w:tcPr>
          <w:p w14:paraId="118A40E2"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Number</w:t>
            </w:r>
          </w:p>
        </w:tc>
        <w:tc>
          <w:tcPr>
            <w:tcW w:w="1559" w:type="dxa"/>
          </w:tcPr>
          <w:p w14:paraId="7FE7D34C" w14:textId="558241B6"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Delivery Time (to be Tendered)</w:t>
            </w:r>
          </w:p>
        </w:tc>
        <w:tc>
          <w:tcPr>
            <w:tcW w:w="1417" w:type="dxa"/>
          </w:tcPr>
          <w:p w14:paraId="345F2A9D" w14:textId="307D1751"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Price (to be Tendered)</w:t>
            </w:r>
          </w:p>
        </w:tc>
      </w:tr>
      <w:tr w:rsidR="002A4740" w:rsidRPr="00492684" w14:paraId="6E6D2AD2" w14:textId="41F29E74" w:rsidTr="002875A3">
        <w:tc>
          <w:tcPr>
            <w:cnfStyle w:val="001000000000" w:firstRow="0" w:lastRow="0" w:firstColumn="1" w:lastColumn="0" w:oddVBand="0" w:evenVBand="0" w:oddHBand="0" w:evenHBand="0" w:firstRowFirstColumn="0" w:firstRowLastColumn="0" w:lastRowFirstColumn="0" w:lastRowLastColumn="0"/>
            <w:tcW w:w="636" w:type="dxa"/>
          </w:tcPr>
          <w:p w14:paraId="1251E1A4" w14:textId="77777777" w:rsidR="002A4740" w:rsidRPr="00492684" w:rsidRDefault="002A4740" w:rsidP="00C44890">
            <w:pPr>
              <w:rPr>
                <w:b w:val="0"/>
                <w:bCs w:val="0"/>
                <w:lang w:val="en-GB"/>
              </w:rPr>
            </w:pPr>
            <w:r w:rsidRPr="00492684">
              <w:rPr>
                <w:b w:val="0"/>
                <w:bCs w:val="0"/>
                <w:lang w:val="en-GB"/>
              </w:rPr>
              <w:t>1</w:t>
            </w:r>
          </w:p>
        </w:tc>
        <w:tc>
          <w:tcPr>
            <w:tcW w:w="4678" w:type="dxa"/>
          </w:tcPr>
          <w:p w14:paraId="7B709517" w14:textId="77777777" w:rsidR="007E1F1B" w:rsidRDefault="007E1F1B" w:rsidP="007E1F1B">
            <w:pPr>
              <w:cnfStyle w:val="000000000000" w:firstRow="0" w:lastRow="0" w:firstColumn="0" w:lastColumn="0" w:oddVBand="0" w:evenVBand="0" w:oddHBand="0" w:evenHBand="0" w:firstRowFirstColumn="0" w:firstRowLastColumn="0" w:lastRowFirstColumn="0" w:lastRowLastColumn="0"/>
              <w:rPr>
                <w:lang w:val="en-GB"/>
              </w:rPr>
            </w:pPr>
            <w:r>
              <w:rPr>
                <w:lang w:val="en-GB"/>
              </w:rPr>
              <w:t>Operating table</w:t>
            </w:r>
          </w:p>
          <w:p w14:paraId="35F1394A" w14:textId="77777777" w:rsidR="007E1F1B" w:rsidRDefault="007E1F1B" w:rsidP="007E1F1B">
            <w:pPr>
              <w:numPr>
                <w:ilvl w:val="0"/>
                <w:numId w:val="18"/>
              </w:numPr>
              <w:spacing w:before="0"/>
              <w:contextualSpacing/>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Pr>
                <w:rFonts w:eastAsia="Times New Roman"/>
                <w:color w:val="000000"/>
                <w:lang w:val="en-AU" w:eastAsia="en-AU"/>
              </w:rPr>
              <w:t>Designed to AS/NZS 3200.1 or IEC 601.1 standards</w:t>
            </w:r>
          </w:p>
          <w:p w14:paraId="022F916C" w14:textId="77777777" w:rsidR="007E1F1B" w:rsidRDefault="007E1F1B" w:rsidP="007E1F1B">
            <w:pPr>
              <w:numPr>
                <w:ilvl w:val="0"/>
                <w:numId w:val="18"/>
              </w:numPr>
              <w:spacing w:before="0"/>
              <w:contextualSpacing/>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Pr>
                <w:rFonts w:eastAsia="Times New Roman"/>
                <w:color w:val="000000"/>
                <w:lang w:val="en-AU" w:eastAsia="en-AU"/>
              </w:rPr>
              <w:t>Power source: Manual</w:t>
            </w:r>
          </w:p>
          <w:p w14:paraId="75EA7EEC" w14:textId="77777777" w:rsidR="007E1F1B" w:rsidRDefault="007E1F1B" w:rsidP="007E1F1B">
            <w:pPr>
              <w:numPr>
                <w:ilvl w:val="0"/>
                <w:numId w:val="18"/>
              </w:numPr>
              <w:spacing w:before="0"/>
              <w:contextualSpacing/>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Pr>
                <w:rFonts w:eastAsia="Times New Roman"/>
                <w:color w:val="000000"/>
                <w:lang w:val="en-AU" w:eastAsia="en-AU"/>
              </w:rPr>
              <w:t>Should be very flexible, sturdy, mobile and extremely easy to adjust</w:t>
            </w:r>
          </w:p>
          <w:p w14:paraId="401427C3" w14:textId="77777777" w:rsidR="007E1F1B" w:rsidRDefault="007E1F1B" w:rsidP="007E1F1B">
            <w:pPr>
              <w:numPr>
                <w:ilvl w:val="0"/>
                <w:numId w:val="18"/>
              </w:numPr>
              <w:spacing w:before="0"/>
              <w:contextualSpacing/>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Pr>
                <w:rFonts w:eastAsia="Times New Roman"/>
                <w:color w:val="000000"/>
                <w:lang w:val="en-AU" w:eastAsia="en-AU"/>
              </w:rPr>
              <w:t>Should be able to adjust the followings:</w:t>
            </w:r>
          </w:p>
          <w:p w14:paraId="60463057" w14:textId="77777777" w:rsidR="007E1F1B" w:rsidRPr="00883F6F" w:rsidRDefault="007E1F1B" w:rsidP="007E1F1B">
            <w:pPr>
              <w:ind w:left="720"/>
              <w:contextualSpacing/>
              <w:cnfStyle w:val="000000000000" w:firstRow="0" w:lastRow="0" w:firstColumn="0" w:lastColumn="0" w:oddVBand="0" w:evenVBand="0" w:oddHBand="0" w:evenHBand="0" w:firstRowFirstColumn="0" w:firstRowLastColumn="0" w:lastRowFirstColumn="0" w:lastRowLastColumn="0"/>
              <w:rPr>
                <w:rFonts w:eastAsia="Times New Roman"/>
                <w:b/>
                <w:color w:val="000000"/>
                <w:lang w:val="en-AU" w:eastAsia="en-AU"/>
              </w:rPr>
            </w:pPr>
            <w:r w:rsidRPr="00883F6F">
              <w:rPr>
                <w:rFonts w:eastAsia="Times New Roman"/>
                <w:b/>
                <w:color w:val="000000"/>
                <w:lang w:val="en-AU" w:eastAsia="en-AU"/>
              </w:rPr>
              <w:t>-</w:t>
            </w:r>
            <w:r w:rsidRPr="00883F6F">
              <w:rPr>
                <w:b/>
              </w:rPr>
              <w:t xml:space="preserve"> </w:t>
            </w:r>
            <w:r w:rsidRPr="00883F6F">
              <w:rPr>
                <w:rFonts w:eastAsia="Times New Roman"/>
                <w:b/>
                <w:color w:val="000000"/>
                <w:lang w:val="en-AU" w:eastAsia="en-AU"/>
              </w:rPr>
              <w:t>Height (ranging from 675-114mm)</w:t>
            </w:r>
          </w:p>
          <w:p w14:paraId="7FB964E6" w14:textId="77777777" w:rsidR="007E1F1B" w:rsidRPr="00883F6F" w:rsidRDefault="007E1F1B" w:rsidP="007E1F1B">
            <w:pPr>
              <w:ind w:left="720"/>
              <w:contextualSpacing/>
              <w:cnfStyle w:val="000000000000" w:firstRow="0" w:lastRow="0" w:firstColumn="0" w:lastColumn="0" w:oddVBand="0" w:evenVBand="0" w:oddHBand="0" w:evenHBand="0" w:firstRowFirstColumn="0" w:firstRowLastColumn="0" w:lastRowFirstColumn="0" w:lastRowLastColumn="0"/>
              <w:rPr>
                <w:rFonts w:eastAsia="Times New Roman"/>
                <w:b/>
                <w:color w:val="000000"/>
                <w:lang w:val="en-AU" w:eastAsia="en-AU"/>
              </w:rPr>
            </w:pPr>
            <w:r w:rsidRPr="00883F6F">
              <w:rPr>
                <w:rFonts w:eastAsia="Times New Roman"/>
                <w:b/>
                <w:color w:val="000000"/>
                <w:lang w:val="en-AU" w:eastAsia="en-AU"/>
              </w:rPr>
              <w:t>-Trendelenburg (300)</w:t>
            </w:r>
          </w:p>
          <w:p w14:paraId="0660CFF5" w14:textId="77777777" w:rsidR="007E1F1B" w:rsidRPr="00883F6F" w:rsidRDefault="007E1F1B" w:rsidP="007E1F1B">
            <w:pPr>
              <w:ind w:left="720"/>
              <w:contextualSpacing/>
              <w:cnfStyle w:val="000000000000" w:firstRow="0" w:lastRow="0" w:firstColumn="0" w:lastColumn="0" w:oddVBand="0" w:evenVBand="0" w:oddHBand="0" w:evenHBand="0" w:firstRowFirstColumn="0" w:firstRowLastColumn="0" w:lastRowFirstColumn="0" w:lastRowLastColumn="0"/>
              <w:rPr>
                <w:rFonts w:eastAsia="Times New Roman"/>
                <w:b/>
                <w:color w:val="000000"/>
                <w:lang w:val="en-AU" w:eastAsia="en-AU"/>
              </w:rPr>
            </w:pPr>
            <w:r w:rsidRPr="00883F6F">
              <w:rPr>
                <w:rFonts w:eastAsia="Times New Roman"/>
                <w:b/>
                <w:color w:val="000000"/>
                <w:lang w:val="en-AU" w:eastAsia="en-AU"/>
              </w:rPr>
              <w:t>-Reverse Trendelenburg (250)</w:t>
            </w:r>
          </w:p>
          <w:p w14:paraId="4B169BFB" w14:textId="77777777" w:rsidR="007E1F1B" w:rsidRPr="00883F6F" w:rsidRDefault="007E1F1B" w:rsidP="007E1F1B">
            <w:pPr>
              <w:ind w:left="720"/>
              <w:contextualSpacing/>
              <w:cnfStyle w:val="000000000000" w:firstRow="0" w:lastRow="0" w:firstColumn="0" w:lastColumn="0" w:oddVBand="0" w:evenVBand="0" w:oddHBand="0" w:evenHBand="0" w:firstRowFirstColumn="0" w:firstRowLastColumn="0" w:lastRowFirstColumn="0" w:lastRowLastColumn="0"/>
              <w:rPr>
                <w:rFonts w:eastAsia="Times New Roman"/>
                <w:b/>
                <w:color w:val="000000"/>
                <w:lang w:val="en-AU" w:eastAsia="en-AU"/>
              </w:rPr>
            </w:pPr>
            <w:r w:rsidRPr="00883F6F">
              <w:rPr>
                <w:rFonts w:eastAsia="Times New Roman"/>
                <w:b/>
                <w:color w:val="000000"/>
                <w:lang w:val="en-AU" w:eastAsia="en-AU"/>
              </w:rPr>
              <w:t>-Lateral Tilt (± 200)</w:t>
            </w:r>
          </w:p>
          <w:p w14:paraId="3D6ACBF1" w14:textId="77777777" w:rsidR="007E1F1B" w:rsidRPr="00883F6F" w:rsidRDefault="007E1F1B" w:rsidP="007E1F1B">
            <w:pPr>
              <w:ind w:left="720"/>
              <w:contextualSpacing/>
              <w:cnfStyle w:val="000000000000" w:firstRow="0" w:lastRow="0" w:firstColumn="0" w:lastColumn="0" w:oddVBand="0" w:evenVBand="0" w:oddHBand="0" w:evenHBand="0" w:firstRowFirstColumn="0" w:firstRowLastColumn="0" w:lastRowFirstColumn="0" w:lastRowLastColumn="0"/>
              <w:rPr>
                <w:rFonts w:eastAsia="Times New Roman"/>
                <w:b/>
                <w:color w:val="000000"/>
                <w:lang w:val="en-AU" w:eastAsia="en-AU"/>
              </w:rPr>
            </w:pPr>
            <w:r w:rsidRPr="00883F6F">
              <w:rPr>
                <w:rFonts w:eastAsia="Times New Roman"/>
                <w:b/>
                <w:color w:val="000000"/>
                <w:lang w:val="en-AU" w:eastAsia="en-AU"/>
              </w:rPr>
              <w:t>-Lower back (+1000/-300)</w:t>
            </w:r>
          </w:p>
          <w:p w14:paraId="451EBBA3" w14:textId="77777777" w:rsidR="007E1F1B" w:rsidRPr="00883F6F" w:rsidRDefault="007E1F1B" w:rsidP="007E1F1B">
            <w:pPr>
              <w:ind w:left="720"/>
              <w:contextualSpacing/>
              <w:cnfStyle w:val="000000000000" w:firstRow="0" w:lastRow="0" w:firstColumn="0" w:lastColumn="0" w:oddVBand="0" w:evenVBand="0" w:oddHBand="0" w:evenHBand="0" w:firstRowFirstColumn="0" w:firstRowLastColumn="0" w:lastRowFirstColumn="0" w:lastRowLastColumn="0"/>
              <w:rPr>
                <w:rFonts w:eastAsia="Times New Roman"/>
                <w:b/>
                <w:color w:val="000000"/>
                <w:lang w:val="en-AU" w:eastAsia="en-AU"/>
              </w:rPr>
            </w:pPr>
            <w:r w:rsidRPr="00883F6F">
              <w:rPr>
                <w:rFonts w:eastAsia="Times New Roman"/>
                <w:b/>
                <w:color w:val="000000"/>
                <w:lang w:val="en-AU" w:eastAsia="en-AU"/>
              </w:rPr>
              <w:t>-Upper back (+800/-300)</w:t>
            </w:r>
          </w:p>
          <w:p w14:paraId="471122F2" w14:textId="77777777" w:rsidR="007E1F1B" w:rsidRPr="00883F6F" w:rsidRDefault="007E1F1B" w:rsidP="007E1F1B">
            <w:pPr>
              <w:ind w:left="720"/>
              <w:contextualSpacing/>
              <w:cnfStyle w:val="000000000000" w:firstRow="0" w:lastRow="0" w:firstColumn="0" w:lastColumn="0" w:oddVBand="0" w:evenVBand="0" w:oddHBand="0" w:evenHBand="0" w:firstRowFirstColumn="0" w:firstRowLastColumn="0" w:lastRowFirstColumn="0" w:lastRowLastColumn="0"/>
              <w:rPr>
                <w:rFonts w:eastAsia="Times New Roman"/>
                <w:b/>
                <w:color w:val="000000"/>
                <w:lang w:val="en-AU" w:eastAsia="en-AU"/>
              </w:rPr>
            </w:pPr>
            <w:r w:rsidRPr="00883F6F">
              <w:rPr>
                <w:rFonts w:eastAsia="Times New Roman"/>
                <w:b/>
                <w:color w:val="000000"/>
                <w:lang w:val="en-AU" w:eastAsia="en-AU"/>
              </w:rPr>
              <w:t>-Up/Down leg sections (+250/-900)</w:t>
            </w:r>
          </w:p>
          <w:p w14:paraId="777689BC" w14:textId="77777777" w:rsidR="007E1F1B" w:rsidRPr="00883F6F" w:rsidRDefault="007E1F1B" w:rsidP="007E1F1B">
            <w:pPr>
              <w:ind w:left="720"/>
              <w:contextualSpacing/>
              <w:cnfStyle w:val="000000000000" w:firstRow="0" w:lastRow="0" w:firstColumn="0" w:lastColumn="0" w:oddVBand="0" w:evenVBand="0" w:oddHBand="0" w:evenHBand="0" w:firstRowFirstColumn="0" w:firstRowLastColumn="0" w:lastRowFirstColumn="0" w:lastRowLastColumn="0"/>
              <w:rPr>
                <w:rFonts w:eastAsia="Times New Roman"/>
                <w:b/>
                <w:color w:val="000000"/>
                <w:lang w:val="en-AU" w:eastAsia="en-AU"/>
              </w:rPr>
            </w:pPr>
            <w:r w:rsidRPr="00883F6F">
              <w:rPr>
                <w:rFonts w:eastAsia="Times New Roman"/>
                <w:b/>
                <w:color w:val="000000"/>
                <w:lang w:val="en-AU" w:eastAsia="en-AU"/>
              </w:rPr>
              <w:t>-Lateral Leg section (900)</w:t>
            </w:r>
          </w:p>
          <w:p w14:paraId="198ED9C0" w14:textId="77777777" w:rsidR="007E1F1B" w:rsidRDefault="007E1F1B" w:rsidP="007E1F1B">
            <w:pPr>
              <w:ind w:left="720"/>
              <w:contextualSpacing/>
              <w:cnfStyle w:val="000000000000" w:firstRow="0" w:lastRow="0" w:firstColumn="0" w:lastColumn="0" w:oddVBand="0" w:evenVBand="0" w:oddHBand="0" w:evenHBand="0" w:firstRowFirstColumn="0" w:firstRowLastColumn="0" w:lastRowFirstColumn="0" w:lastRowLastColumn="0"/>
              <w:rPr>
                <w:rFonts w:eastAsia="Times New Roman"/>
                <w:b/>
                <w:color w:val="000000"/>
                <w:lang w:val="en-AU" w:eastAsia="en-AU"/>
              </w:rPr>
            </w:pPr>
            <w:r w:rsidRPr="00883F6F">
              <w:rPr>
                <w:rFonts w:eastAsia="Times New Roman"/>
                <w:b/>
                <w:color w:val="000000"/>
                <w:lang w:val="en-AU" w:eastAsia="en-AU"/>
              </w:rPr>
              <w:t>-Up/Down Head sections (± 400)</w:t>
            </w:r>
          </w:p>
          <w:p w14:paraId="18445652" w14:textId="77777777" w:rsidR="007E1F1B" w:rsidRDefault="007E1F1B" w:rsidP="007E1F1B">
            <w:pPr>
              <w:pStyle w:val="ListParagraph"/>
              <w:widowControl/>
              <w:numPr>
                <w:ilvl w:val="0"/>
                <w:numId w:val="18"/>
              </w:numPr>
              <w:wordWrap/>
              <w:autoSpaceDE/>
              <w:autoSpaceDN/>
              <w:spacing w:before="0"/>
              <w:ind w:leftChars="0"/>
              <w:contextualSpacing/>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szCs w:val="24"/>
                <w:lang w:val="en-AU" w:eastAsia="en-AU"/>
              </w:rPr>
            </w:pPr>
            <w:r w:rsidRPr="00883F6F">
              <w:rPr>
                <w:rFonts w:ascii="Times New Roman" w:hAnsi="Times New Roman"/>
                <w:color w:val="000000"/>
                <w:sz w:val="24"/>
                <w:szCs w:val="24"/>
                <w:lang w:val="en-AU" w:eastAsia="en-AU"/>
              </w:rPr>
              <w:t xml:space="preserve"> Eccentric </w:t>
            </w:r>
            <w:r>
              <w:rPr>
                <w:rFonts w:ascii="Times New Roman" w:hAnsi="Times New Roman"/>
                <w:color w:val="000000"/>
                <w:sz w:val="24"/>
                <w:szCs w:val="24"/>
                <w:lang w:val="en-AU" w:eastAsia="en-AU"/>
              </w:rPr>
              <w:t>column position plus detachable leg and head sections with the possibility to reverse the orientation of leg and head sections to make the use of C-arm possible on any part of the patient’s body during all types of surgical operations</w:t>
            </w:r>
          </w:p>
          <w:p w14:paraId="10B04AC7" w14:textId="77777777" w:rsidR="007E1F1B" w:rsidRDefault="007E1F1B" w:rsidP="007E1F1B">
            <w:pPr>
              <w:pStyle w:val="ListParagraph"/>
              <w:widowControl/>
              <w:numPr>
                <w:ilvl w:val="0"/>
                <w:numId w:val="18"/>
              </w:numPr>
              <w:wordWrap/>
              <w:autoSpaceDE/>
              <w:autoSpaceDN/>
              <w:spacing w:before="0"/>
              <w:ind w:leftChars="0"/>
              <w:contextualSpacing/>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szCs w:val="24"/>
                <w:lang w:val="en-AU" w:eastAsia="en-AU"/>
              </w:rPr>
            </w:pPr>
            <w:r>
              <w:rPr>
                <w:rFonts w:ascii="Times New Roman" w:hAnsi="Times New Roman"/>
                <w:color w:val="000000"/>
                <w:sz w:val="24"/>
                <w:szCs w:val="24"/>
                <w:lang w:val="en-AU" w:eastAsia="en-AU"/>
              </w:rPr>
              <w:t>Split leg sections which can be adjusted independently both in the up-down and 90 degrees to the side to increase versatility</w:t>
            </w:r>
          </w:p>
          <w:p w14:paraId="5631769A" w14:textId="094E2E9C" w:rsidR="007E1F1B" w:rsidRPr="00883F6F" w:rsidRDefault="007E1F1B" w:rsidP="007E1F1B">
            <w:pPr>
              <w:pStyle w:val="ListParagraph"/>
              <w:widowControl/>
              <w:numPr>
                <w:ilvl w:val="0"/>
                <w:numId w:val="18"/>
              </w:numPr>
              <w:wordWrap/>
              <w:autoSpaceDE/>
              <w:autoSpaceDN/>
              <w:spacing w:before="0"/>
              <w:ind w:leftChars="0"/>
              <w:contextualSpacing/>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szCs w:val="24"/>
                <w:lang w:val="en-AU" w:eastAsia="en-AU"/>
              </w:rPr>
            </w:pPr>
            <w:r w:rsidRPr="00883F6F">
              <w:rPr>
                <w:rFonts w:ascii="Times New Roman" w:hAnsi="Times New Roman"/>
                <w:color w:val="000000"/>
                <w:sz w:val="24"/>
                <w:szCs w:val="24"/>
                <w:lang w:val="en-AU" w:eastAsia="en-AU"/>
              </w:rPr>
              <w:t>Tabletop is x-ray translucent without any metallic parts in the middle of the table top, thus making radiography possible over the entire length of the patient’s body</w:t>
            </w:r>
          </w:p>
          <w:p w14:paraId="429FE8A2" w14:textId="77777777" w:rsidR="007E1F1B" w:rsidRPr="00883F6F" w:rsidRDefault="007E1F1B" w:rsidP="007E1F1B">
            <w:pPr>
              <w:pStyle w:val="ListParagraph"/>
              <w:widowControl/>
              <w:numPr>
                <w:ilvl w:val="0"/>
                <w:numId w:val="18"/>
              </w:numPr>
              <w:wordWrap/>
              <w:autoSpaceDE/>
              <w:autoSpaceDN/>
              <w:spacing w:before="0"/>
              <w:ind w:leftChars="0"/>
              <w:contextualSpacing/>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szCs w:val="24"/>
                <w:lang w:val="en-AU" w:eastAsia="en-AU"/>
              </w:rPr>
            </w:pPr>
            <w:r w:rsidRPr="00883F6F">
              <w:rPr>
                <w:rFonts w:ascii="Times New Roman" w:hAnsi="Times New Roman"/>
                <w:color w:val="000000"/>
                <w:sz w:val="24"/>
                <w:szCs w:val="24"/>
                <w:lang w:val="en-AU" w:eastAsia="en-AU"/>
              </w:rPr>
              <w:t>Integrated weight compensation by rigid locking gas springs facilitates manual adjustment of the head and leg sections</w:t>
            </w:r>
          </w:p>
          <w:p w14:paraId="0BAC5DE8" w14:textId="77777777" w:rsidR="007E1F1B" w:rsidRPr="00883F6F" w:rsidRDefault="007E1F1B" w:rsidP="007E1F1B">
            <w:pPr>
              <w:pStyle w:val="ListParagraph"/>
              <w:widowControl/>
              <w:numPr>
                <w:ilvl w:val="0"/>
                <w:numId w:val="18"/>
              </w:numPr>
              <w:wordWrap/>
              <w:autoSpaceDE/>
              <w:autoSpaceDN/>
              <w:spacing w:before="0"/>
              <w:ind w:leftChars="0"/>
              <w:contextualSpacing/>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szCs w:val="24"/>
                <w:lang w:val="en-AU" w:eastAsia="en-AU"/>
              </w:rPr>
            </w:pPr>
            <w:r w:rsidRPr="00883F6F">
              <w:rPr>
                <w:rFonts w:ascii="Times New Roman" w:hAnsi="Times New Roman"/>
                <w:color w:val="000000"/>
                <w:sz w:val="24"/>
                <w:szCs w:val="24"/>
                <w:lang w:val="en-AU" w:eastAsia="en-AU"/>
              </w:rPr>
              <w:lastRenderedPageBreak/>
              <w:t>A safety push button to prevent accidental operation of the table</w:t>
            </w:r>
          </w:p>
          <w:p w14:paraId="6E9B3298" w14:textId="77777777" w:rsidR="007E1F1B" w:rsidRPr="00883F6F" w:rsidRDefault="007E1F1B" w:rsidP="007E1F1B">
            <w:pPr>
              <w:pStyle w:val="ListParagraph"/>
              <w:widowControl/>
              <w:numPr>
                <w:ilvl w:val="0"/>
                <w:numId w:val="18"/>
              </w:numPr>
              <w:wordWrap/>
              <w:autoSpaceDE/>
              <w:autoSpaceDN/>
              <w:spacing w:before="0"/>
              <w:ind w:leftChars="0"/>
              <w:contextualSpacing/>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szCs w:val="24"/>
                <w:lang w:val="en-AU" w:eastAsia="en-AU"/>
              </w:rPr>
            </w:pPr>
            <w:r w:rsidRPr="00883F6F">
              <w:rPr>
                <w:rFonts w:ascii="Times New Roman" w:hAnsi="Times New Roman"/>
                <w:color w:val="000000"/>
                <w:sz w:val="24"/>
                <w:szCs w:val="24"/>
                <w:lang w:val="en-AU" w:eastAsia="en-AU"/>
              </w:rPr>
              <w:t>Optimally designed base to provide ample toe space for user, along with extreme stability</w:t>
            </w:r>
          </w:p>
          <w:p w14:paraId="52F0DC97" w14:textId="77777777" w:rsidR="007E1F1B" w:rsidRPr="00883F6F" w:rsidRDefault="007E1F1B" w:rsidP="007E1F1B">
            <w:pPr>
              <w:pStyle w:val="ListParagraph"/>
              <w:widowControl/>
              <w:numPr>
                <w:ilvl w:val="0"/>
                <w:numId w:val="18"/>
              </w:numPr>
              <w:wordWrap/>
              <w:autoSpaceDE/>
              <w:autoSpaceDN/>
              <w:spacing w:before="0"/>
              <w:ind w:leftChars="0"/>
              <w:contextualSpacing/>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szCs w:val="24"/>
                <w:lang w:val="en-AU" w:eastAsia="en-AU"/>
              </w:rPr>
            </w:pPr>
            <w:r w:rsidRPr="00883F6F">
              <w:rPr>
                <w:rFonts w:ascii="Times New Roman" w:hAnsi="Times New Roman"/>
                <w:color w:val="000000"/>
                <w:sz w:val="24"/>
                <w:szCs w:val="24"/>
                <w:lang w:val="en-AU" w:eastAsia="en-AU"/>
              </w:rPr>
              <w:t>Four easy glide, antistatic castors, two of which are swivelling to ensure mobility</w:t>
            </w:r>
          </w:p>
          <w:p w14:paraId="6A4A0819" w14:textId="7D4B71EE" w:rsidR="007E1F1B" w:rsidRPr="007E1F1B" w:rsidRDefault="007E1F1B" w:rsidP="007E1F1B">
            <w:pPr>
              <w:cnfStyle w:val="000000000000" w:firstRow="0" w:lastRow="0" w:firstColumn="0" w:lastColumn="0" w:oddVBand="0" w:evenVBand="0" w:oddHBand="0" w:evenHBand="0" w:firstRowFirstColumn="0" w:firstRowLastColumn="0" w:lastRowFirstColumn="0" w:lastRowLastColumn="0"/>
              <w:rPr>
                <w:lang w:val="en-GB"/>
              </w:rPr>
            </w:pPr>
            <w:r w:rsidRPr="00883F6F">
              <w:rPr>
                <w:rFonts w:eastAsia="Times New Roman"/>
                <w:color w:val="000000"/>
                <w:lang w:val="en-AU" w:eastAsia="en-AU"/>
              </w:rPr>
              <w:t>High quality hydraulic components are used to ensure reliable and safe operation</w:t>
            </w:r>
          </w:p>
        </w:tc>
        <w:tc>
          <w:tcPr>
            <w:tcW w:w="1134" w:type="dxa"/>
          </w:tcPr>
          <w:p w14:paraId="352597C6" w14:textId="6981962B" w:rsidR="002A4740" w:rsidRPr="00492684" w:rsidRDefault="007E1F1B"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lastRenderedPageBreak/>
              <w:t>4</w:t>
            </w:r>
          </w:p>
        </w:tc>
        <w:tc>
          <w:tcPr>
            <w:tcW w:w="1559" w:type="dxa"/>
          </w:tcPr>
          <w:p w14:paraId="7E3C67F5"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13B5A4AE"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A4740" w:rsidRPr="00492684" w14:paraId="774E0324" w14:textId="3A7B6733" w:rsidTr="002875A3">
        <w:tc>
          <w:tcPr>
            <w:cnfStyle w:val="001000000000" w:firstRow="0" w:lastRow="0" w:firstColumn="1" w:lastColumn="0" w:oddVBand="0" w:evenVBand="0" w:oddHBand="0" w:evenHBand="0" w:firstRowFirstColumn="0" w:firstRowLastColumn="0" w:lastRowFirstColumn="0" w:lastRowLastColumn="0"/>
            <w:tcW w:w="636" w:type="dxa"/>
          </w:tcPr>
          <w:p w14:paraId="6D10AE33" w14:textId="77777777" w:rsidR="002A4740" w:rsidRPr="00492684" w:rsidRDefault="002A4740" w:rsidP="00C44890">
            <w:pPr>
              <w:rPr>
                <w:b w:val="0"/>
                <w:bCs w:val="0"/>
                <w:lang w:val="en-GB"/>
              </w:rPr>
            </w:pPr>
            <w:r w:rsidRPr="00492684">
              <w:rPr>
                <w:b w:val="0"/>
                <w:bCs w:val="0"/>
                <w:lang w:val="en-GB"/>
              </w:rPr>
              <w:t>2</w:t>
            </w:r>
          </w:p>
        </w:tc>
        <w:tc>
          <w:tcPr>
            <w:tcW w:w="4678" w:type="dxa"/>
          </w:tcPr>
          <w:p w14:paraId="29EE2BF2" w14:textId="6C0DE63D" w:rsidR="002A4740" w:rsidRDefault="00BE05AA"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Mobile suction Unit</w:t>
            </w:r>
          </w:p>
          <w:p w14:paraId="2A0D78FB" w14:textId="77777777" w:rsidR="003105E8" w:rsidRPr="00140D50" w:rsidRDefault="003105E8" w:rsidP="003105E8">
            <w:pPr>
              <w:numPr>
                <w:ilvl w:val="0"/>
                <w:numId w:val="19"/>
              </w:numPr>
              <w:spacing w:before="0"/>
              <w:contextualSpacing/>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140D50">
              <w:rPr>
                <w:rFonts w:eastAsia="Times New Roman"/>
                <w:color w:val="000000"/>
                <w:lang w:val="en-AU" w:eastAsia="en-AU"/>
              </w:rPr>
              <w:t>Designed to AS/NZ standard 3200.1 or IEC 601.1 standards</w:t>
            </w:r>
          </w:p>
          <w:p w14:paraId="61E70A00" w14:textId="77777777" w:rsidR="003105E8" w:rsidRPr="00140D50" w:rsidRDefault="003105E8" w:rsidP="003105E8">
            <w:pPr>
              <w:numPr>
                <w:ilvl w:val="0"/>
                <w:numId w:val="19"/>
              </w:numPr>
              <w:spacing w:before="0"/>
              <w:contextualSpacing/>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140D50">
              <w:rPr>
                <w:rFonts w:eastAsia="Times New Roman"/>
                <w:color w:val="000000"/>
                <w:lang w:val="en-AU" w:eastAsia="en-AU"/>
              </w:rPr>
              <w:t>Power supply: AC 240 V ±15%, 50 Hz</w:t>
            </w:r>
          </w:p>
          <w:p w14:paraId="77779383" w14:textId="77777777" w:rsidR="003105E8" w:rsidRDefault="003105E8" w:rsidP="003105E8">
            <w:pPr>
              <w:numPr>
                <w:ilvl w:val="0"/>
                <w:numId w:val="19"/>
              </w:numPr>
              <w:spacing w:before="0"/>
              <w:contextualSpacing/>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140D50">
              <w:rPr>
                <w:rFonts w:eastAsia="Times New Roman"/>
                <w:color w:val="000000"/>
                <w:lang w:val="en-AU" w:eastAsia="en-AU"/>
              </w:rPr>
              <w:t xml:space="preserve">Power cord/plug: Australian Standard 10A </w:t>
            </w:r>
          </w:p>
          <w:p w14:paraId="4A4C86CE" w14:textId="353E1681" w:rsidR="003105E8" w:rsidRDefault="00BE05AA" w:rsidP="003105E8">
            <w:pPr>
              <w:numPr>
                <w:ilvl w:val="0"/>
                <w:numId w:val="19"/>
              </w:numPr>
              <w:spacing w:before="0"/>
              <w:contextualSpacing/>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Pr>
                <w:rFonts w:eastAsia="Times New Roman"/>
                <w:color w:val="000000"/>
                <w:lang w:val="en-AU" w:eastAsia="en-AU"/>
              </w:rPr>
              <w:t>On moving casters with locking brakes for safety concern</w:t>
            </w:r>
          </w:p>
          <w:p w14:paraId="3F466ECB" w14:textId="681547AC" w:rsidR="00BE05AA" w:rsidRDefault="00BE05AA" w:rsidP="003105E8">
            <w:pPr>
              <w:numPr>
                <w:ilvl w:val="0"/>
                <w:numId w:val="19"/>
              </w:numPr>
              <w:spacing w:before="0"/>
              <w:contextualSpacing/>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Pr>
                <w:rFonts w:eastAsia="Times New Roman"/>
                <w:color w:val="000000"/>
                <w:lang w:val="en-AU" w:eastAsia="en-AU"/>
              </w:rPr>
              <w:t xml:space="preserve">Equipped with low noise and easy to maintain oil-less vacuum pump </w:t>
            </w:r>
          </w:p>
          <w:p w14:paraId="1DBE8145" w14:textId="488620CA" w:rsidR="00BE05AA" w:rsidRDefault="00BE05AA" w:rsidP="003105E8">
            <w:pPr>
              <w:numPr>
                <w:ilvl w:val="0"/>
                <w:numId w:val="19"/>
              </w:numPr>
              <w:spacing w:before="0"/>
              <w:contextualSpacing/>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Pr>
                <w:rFonts w:eastAsia="Times New Roman"/>
                <w:color w:val="000000"/>
                <w:lang w:val="en-AU" w:eastAsia="en-AU"/>
              </w:rPr>
              <w:t>Equipped with a storage box at the back</w:t>
            </w:r>
          </w:p>
          <w:p w14:paraId="39652711" w14:textId="53286672" w:rsidR="00BE05AA" w:rsidRDefault="00BE05AA" w:rsidP="003105E8">
            <w:pPr>
              <w:numPr>
                <w:ilvl w:val="0"/>
                <w:numId w:val="19"/>
              </w:numPr>
              <w:spacing w:before="0"/>
              <w:contextualSpacing/>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Pr>
                <w:rFonts w:eastAsia="Times New Roman"/>
                <w:color w:val="000000"/>
                <w:lang w:val="en-AU" w:eastAsia="en-AU"/>
              </w:rPr>
              <w:t>Stainless steel construction for the trolley</w:t>
            </w:r>
          </w:p>
          <w:p w14:paraId="224AAC30" w14:textId="7E99D43E" w:rsidR="00BE05AA" w:rsidRDefault="00BE05AA" w:rsidP="003105E8">
            <w:pPr>
              <w:numPr>
                <w:ilvl w:val="0"/>
                <w:numId w:val="19"/>
              </w:numPr>
              <w:spacing w:before="0"/>
              <w:contextualSpacing/>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Pr>
                <w:rFonts w:eastAsia="Times New Roman"/>
                <w:color w:val="000000"/>
                <w:lang w:val="en-AU" w:eastAsia="en-AU"/>
              </w:rPr>
              <w:t>Adjustable flow rate with max 35L/min</w:t>
            </w:r>
          </w:p>
          <w:p w14:paraId="664F5E51" w14:textId="28077936" w:rsidR="00BE05AA" w:rsidRDefault="00BE05AA" w:rsidP="003105E8">
            <w:pPr>
              <w:numPr>
                <w:ilvl w:val="0"/>
                <w:numId w:val="19"/>
              </w:numPr>
              <w:spacing w:before="0"/>
              <w:contextualSpacing/>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Pr>
                <w:rFonts w:eastAsia="Times New Roman"/>
                <w:color w:val="000000"/>
                <w:lang w:val="en-AU" w:eastAsia="en-AU"/>
              </w:rPr>
              <w:t xml:space="preserve">Equip with 2 pieces of 3L bottles </w:t>
            </w:r>
          </w:p>
          <w:p w14:paraId="4185C3CC" w14:textId="63D80F46" w:rsidR="00BE05AA" w:rsidRDefault="00BE05AA" w:rsidP="003105E8">
            <w:pPr>
              <w:numPr>
                <w:ilvl w:val="0"/>
                <w:numId w:val="19"/>
              </w:numPr>
              <w:spacing w:before="0"/>
              <w:contextualSpacing/>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Pr>
                <w:rFonts w:eastAsia="Times New Roman"/>
                <w:color w:val="000000"/>
                <w:lang w:val="en-AU" w:eastAsia="en-AU"/>
              </w:rPr>
              <w:t>Equip with floating control safety device</w:t>
            </w:r>
          </w:p>
          <w:p w14:paraId="05ADA2A7" w14:textId="0BFC238A" w:rsidR="00BE05AA" w:rsidRPr="00140D50" w:rsidRDefault="00BE05AA" w:rsidP="003105E8">
            <w:pPr>
              <w:numPr>
                <w:ilvl w:val="0"/>
                <w:numId w:val="19"/>
              </w:numPr>
              <w:spacing w:before="0"/>
              <w:contextualSpacing/>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Pr>
                <w:rFonts w:eastAsia="Times New Roman"/>
                <w:color w:val="000000"/>
                <w:lang w:val="en-AU" w:eastAsia="en-AU"/>
              </w:rPr>
              <w:t xml:space="preserve">Standard accessories included (1 pc x suction tube 180 cm, 1pc x suction catheter &amp; 2 x spare filters) </w:t>
            </w:r>
          </w:p>
          <w:p w14:paraId="7203F049" w14:textId="77777777" w:rsidR="002875A3" w:rsidRDefault="002875A3" w:rsidP="00C44890">
            <w:pPr>
              <w:cnfStyle w:val="000000000000" w:firstRow="0" w:lastRow="0" w:firstColumn="0" w:lastColumn="0" w:oddVBand="0" w:evenVBand="0" w:oddHBand="0" w:evenHBand="0" w:firstRowFirstColumn="0" w:firstRowLastColumn="0" w:lastRowFirstColumn="0" w:lastRowLastColumn="0"/>
              <w:rPr>
                <w:lang w:val="en-GB"/>
              </w:rPr>
            </w:pPr>
          </w:p>
          <w:p w14:paraId="33F7DABB" w14:textId="7785B052" w:rsidR="007E1F1B" w:rsidRPr="00492684" w:rsidRDefault="007E1F1B"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468F09AE" w14:textId="37A0BD81" w:rsidR="002A4740" w:rsidRPr="00492684" w:rsidRDefault="00BE05AA"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20</w:t>
            </w:r>
          </w:p>
        </w:tc>
        <w:tc>
          <w:tcPr>
            <w:tcW w:w="1559" w:type="dxa"/>
          </w:tcPr>
          <w:p w14:paraId="78733891"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2B32EE03"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77777777" w:rsidR="00C44890" w:rsidRPr="00492684" w:rsidRDefault="00C44890" w:rsidP="00C44890">
      <w:pPr>
        <w:rPr>
          <w:lang w:val="en-GB"/>
        </w:rPr>
      </w:pPr>
    </w:p>
    <w:sectPr w:rsidR="00C44890" w:rsidRPr="00492684"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3B91C" w14:textId="77777777" w:rsidR="00E372E6" w:rsidRDefault="00E372E6">
      <w:r>
        <w:separator/>
      </w:r>
    </w:p>
  </w:endnote>
  <w:endnote w:type="continuationSeparator" w:id="0">
    <w:p w14:paraId="5F2C413F" w14:textId="77777777" w:rsidR="00E372E6" w:rsidRDefault="00E372E6">
      <w:r>
        <w:continuationSeparator/>
      </w:r>
    </w:p>
  </w:endnote>
  <w:endnote w:type="continuationNotice" w:id="1">
    <w:p w14:paraId="268C35A6" w14:textId="77777777" w:rsidR="00E372E6" w:rsidRDefault="00E372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13FD86CE" w:rsidR="00133D55" w:rsidRDefault="00133D55" w:rsidP="004878F3">
    <w:pPr>
      <w:pStyle w:val="Footer"/>
    </w:pPr>
    <w:r>
      <w:fldChar w:fldCharType="begin"/>
    </w:r>
    <w:r>
      <w:instrText xml:space="preserve"> DATE \@ "yyyy-MM-dd" </w:instrText>
    </w:r>
    <w:r>
      <w:fldChar w:fldCharType="separate"/>
    </w:r>
    <w:r w:rsidR="00737364">
      <w:rPr>
        <w:noProof/>
      </w:rPr>
      <w:t>2025-08-27</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002E4" w14:textId="77777777" w:rsidR="00E372E6" w:rsidRDefault="00E372E6">
      <w:r>
        <w:separator/>
      </w:r>
    </w:p>
  </w:footnote>
  <w:footnote w:type="continuationSeparator" w:id="0">
    <w:p w14:paraId="3C26EBE5" w14:textId="77777777" w:rsidR="00E372E6" w:rsidRDefault="00E372E6">
      <w:r>
        <w:continuationSeparator/>
      </w:r>
    </w:p>
  </w:footnote>
  <w:footnote w:type="continuationNotice" w:id="1">
    <w:p w14:paraId="47411F56" w14:textId="77777777" w:rsidR="00E372E6" w:rsidRDefault="00E372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516A1" w14:textId="6974B6D0"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8E2B66"/>
    <w:multiLevelType w:val="hybridMultilevel"/>
    <w:tmpl w:val="B25E34B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7D3011C"/>
    <w:multiLevelType w:val="hybridMultilevel"/>
    <w:tmpl w:val="D01E9AF6"/>
    <w:lvl w:ilvl="0" w:tplc="C9EAB4B6">
      <w:numFmt w:val="bullet"/>
      <w:lvlText w:val="-"/>
      <w:lvlJc w:val="left"/>
      <w:pPr>
        <w:ind w:left="420" w:hanging="360"/>
      </w:pPr>
      <w:rPr>
        <w:rFonts w:ascii="Times New Roman" w:eastAsia="Times New Roman" w:hAnsi="Times New Roman" w:cs="Times New Roman"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4" w15:restartNumberingAfterBreak="0">
    <w:nsid w:val="331E4F9D"/>
    <w:multiLevelType w:val="hybridMultilevel"/>
    <w:tmpl w:val="445AB90C"/>
    <w:lvl w:ilvl="0" w:tplc="C9EAB4B6">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D3736BE"/>
    <w:multiLevelType w:val="hybridMultilevel"/>
    <w:tmpl w:val="9C74954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8"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18867581">
    <w:abstractNumId w:val="2"/>
  </w:num>
  <w:num w:numId="2" w16cid:durableId="635718265">
    <w:abstractNumId w:val="17"/>
  </w:num>
  <w:num w:numId="3" w16cid:durableId="1611207243">
    <w:abstractNumId w:val="18"/>
  </w:num>
  <w:num w:numId="4" w16cid:durableId="1145780108">
    <w:abstractNumId w:val="9"/>
  </w:num>
  <w:num w:numId="5" w16cid:durableId="951329114">
    <w:abstractNumId w:val="8"/>
  </w:num>
  <w:num w:numId="6" w16cid:durableId="950160844">
    <w:abstractNumId w:val="13"/>
  </w:num>
  <w:num w:numId="7" w16cid:durableId="1047411481">
    <w:abstractNumId w:val="10"/>
  </w:num>
  <w:num w:numId="8" w16cid:durableId="1063797969">
    <w:abstractNumId w:val="15"/>
  </w:num>
  <w:num w:numId="9" w16cid:durableId="497619976">
    <w:abstractNumId w:val="0"/>
  </w:num>
  <w:num w:numId="10" w16cid:durableId="539244783">
    <w:abstractNumId w:val="14"/>
  </w:num>
  <w:num w:numId="11" w16cid:durableId="2098818619">
    <w:abstractNumId w:val="6"/>
  </w:num>
  <w:num w:numId="12" w16cid:durableId="166603781">
    <w:abstractNumId w:val="12"/>
  </w:num>
  <w:num w:numId="13" w16cid:durableId="1239250119">
    <w:abstractNumId w:val="16"/>
  </w:num>
  <w:num w:numId="14" w16cid:durableId="179316226">
    <w:abstractNumId w:val="7"/>
  </w:num>
  <w:num w:numId="15" w16cid:durableId="341710617">
    <w:abstractNumId w:val="11"/>
  </w:num>
  <w:num w:numId="16" w16cid:durableId="132798351">
    <w:abstractNumId w:val="1"/>
  </w:num>
  <w:num w:numId="17" w16cid:durableId="42026133">
    <w:abstractNumId w:val="5"/>
  </w:num>
  <w:num w:numId="18" w16cid:durableId="1047141843">
    <w:abstractNumId w:val="4"/>
  </w:num>
  <w:num w:numId="19" w16cid:durableId="2142069535">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19A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5A3"/>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5E8"/>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364"/>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1F1B"/>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6B28"/>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05AA"/>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CA"/>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3909"/>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1B5"/>
    <w:rsid w:val="00DE5C96"/>
    <w:rsid w:val="00DE6AA8"/>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372E6"/>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1B1A372A-689B-41EE-A431-A75822256F89}">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10</TotalTime>
  <Pages>4</Pages>
  <Words>636</Words>
  <Characters>3627</Characters>
  <Application>Microsoft Office Word</Application>
  <DocSecurity>0</DocSecurity>
  <Lines>30</Lines>
  <Paragraphs>8</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4255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3</cp:revision>
  <cp:lastPrinted>2013-10-18T08:32:00Z</cp:lastPrinted>
  <dcterms:created xsi:type="dcterms:W3CDTF">2025-08-26T00:28:00Z</dcterms:created>
  <dcterms:modified xsi:type="dcterms:W3CDTF">2025-08-26T21:24:00Z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